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3FD5D3CE" wp14:paraId="1278ABE0" wp14:textId="141C248B">
      <w:pPr>
        <w:pStyle w:val="Heading1"/>
        <w:spacing w:before="281" w:beforeAutospacing="off" w:after="281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42"/>
          <w:szCs w:val="42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42"/>
          <w:szCs w:val="42"/>
          <w:lang w:val="pl-PL"/>
        </w:rPr>
        <w:t>Q&amp;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42"/>
          <w:szCs w:val="42"/>
          <w:lang w:val="pl-PL"/>
        </w:rPr>
        <w:t xml:space="preserve">A </w:t>
      </w:r>
      <w:r w:rsidRPr="3FD5D3CE" w:rsidR="767B63F7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42"/>
          <w:szCs w:val="42"/>
          <w:lang w:val="pl-PL"/>
        </w:rPr>
        <w:t xml:space="preserve"> z</w:t>
      </w:r>
      <w:r w:rsidRPr="3FD5D3CE" w:rsidR="767B63F7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42"/>
          <w:szCs w:val="42"/>
          <w:lang w:val="pl-PL"/>
        </w:rPr>
        <w:t xml:space="preserve"> webinarium w dniu 13.01.2026</w:t>
      </w:r>
    </w:p>
    <w:p xmlns:wp14="http://schemas.microsoft.com/office/word/2010/wordml" w:rsidP="3FD5D3CE" wp14:paraId="470FDA7D" wp14:textId="6E32B5FE">
      <w:pPr>
        <w:pStyle w:val="Heading2"/>
        <w:spacing w:before="261" w:beforeAutospacing="off" w:after="261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  <w:t>1) Skierowania – druk, logotypy, terminy</w:t>
      </w:r>
    </w:p>
    <w:p xmlns:wp14="http://schemas.microsoft.com/office/word/2010/wordml" w:rsidP="3FD5D3CE" wp14:paraId="645553A8" wp14:textId="15100657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Część skierowań wydrukowano z logotypami kolorowymi, część w odcieniach szarości. Czy można to zostawić?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Tak. Obie wersje (kolorowe i czarno‑białe) są dopuszczalne. Jeśli zdarzyły się wydruki w odcieniach szarości (nie w pełni czarno‑białe), pozostawiamy je bez korekty.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Na przyszłość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drukuj zgodnie z zasadami identyfikacji wizualnej (kolor lub czarno‑biel).</w:t>
      </w:r>
    </w:p>
    <w:p xmlns:wp14="http://schemas.microsoft.com/office/word/2010/wordml" w:rsidP="3FD5D3CE" wp14:paraId="1F6983F8" wp14:textId="6EB2E750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skierowania muszą być drukowane „na bieżąco”, czy można je wygenerować wcześniej?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Można je wygenerować wcześniej (np. przed terminami dystrybucji), o ile dane są aktualne. W razie zmian (np. w składzie rodziny) należy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zaktualizować dane i ponownie wydrukować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.</w:t>
      </w:r>
    </w:p>
    <w:p xmlns:wp14="http://schemas.microsoft.com/office/word/2010/wordml" w:rsidP="3FD5D3CE" wp14:paraId="08B16BC3" wp14:textId="579522FF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Od kiedy można wydawać skierowania w podprogramie 2025?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Od chwili ogłoszenia wytycznych przez IZ — w przekazanym materiale wskazano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 xml:space="preserve">marzec 2025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r.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.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Niezależnie od daty podpisania umowy, samo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wydawanie skierowań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może ruszyć od marca.</w:t>
      </w:r>
    </w:p>
    <w:p xmlns:wp14="http://schemas.microsoft.com/office/word/2010/wordml" w:rsidP="3FD5D3CE" wp14:paraId="188F8E25" wp14:textId="7E9AFBBA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Wystawiono skierowanie omyłkowo na podprogram 2024 zamiast 2025. Czy można ręcznie poprawić rok?</w:t>
      </w:r>
      <w:r>
        <w:br/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Nie.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Rekomendacja Federacji: wystawić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nowe skierowanie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na poprawny podprogram (2025).</w:t>
      </w:r>
    </w:p>
    <w:p xmlns:wp14="http://schemas.microsoft.com/office/word/2010/wordml" w:rsidP="3FD5D3CE" wp14:paraId="528DC879" wp14:textId="48733A41">
      <w:pPr>
        <w:spacing w:before="0" w:beforeAutospacing="off" w:after="0" w:afterAutospacing="off" w:line="300" w:lineRule="auto"/>
        <w:rPr>
          <w:rFonts w:ascii="Calibri" w:hAnsi="Calibri" w:eastAsia="Calibri" w:cs="Calibri"/>
        </w:rPr>
      </w:pPr>
    </w:p>
    <w:p xmlns:wp14="http://schemas.microsoft.com/office/word/2010/wordml" w:rsidP="3FD5D3CE" wp14:paraId="369121D3" wp14:textId="5C5F899F">
      <w:pPr>
        <w:pStyle w:val="Heading2"/>
        <w:spacing w:before="261" w:beforeAutospacing="off" w:after="261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  <w:t>2) Logowanie i dostęp do BEZ@</w:t>
      </w:r>
    </w:p>
    <w:p xmlns:wp14="http://schemas.microsoft.com/office/word/2010/wordml" w:rsidP="3FD5D3CE" wp14:paraId="5DDCD4DE" wp14:textId="35DA4296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Jak zalogować się do BEZ@?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Przez stronę: </w:t>
      </w:r>
      <w:hyperlink r:id="Rd3be33f9e0814256">
        <w:r w:rsidRPr="3FD5D3CE" w:rsidR="06B53AF6">
          <w:rPr>
            <w:rStyle w:val="Hyperlink"/>
            <w:rFonts w:ascii="Calibri" w:hAnsi="Calibri" w:eastAsia="Calibri" w:cs="Calibri"/>
            <w:b w:val="1"/>
            <w:bCs w:val="1"/>
            <w:i w:val="0"/>
            <w:iCs w:val="0"/>
            <w:noProof w:val="0"/>
            <w:sz w:val="21"/>
            <w:szCs w:val="21"/>
            <w:lang w:val="pl-PL"/>
          </w:rPr>
          <w:t>www.beza.bankizywnosci.pl</w:t>
        </w:r>
      </w:hyperlink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.</w:t>
      </w:r>
    </w:p>
    <w:p xmlns:wp14="http://schemas.microsoft.com/office/word/2010/wordml" w:rsidP="3FD5D3CE" wp14:paraId="357E4CBE" wp14:textId="611D9547">
      <w:pPr>
        <w:pStyle w:val="ListParagraph"/>
        <w:numPr>
          <w:ilvl w:val="0"/>
          <w:numId w:val="2"/>
        </w:numPr>
        <w:spacing w:before="0" w:beforeAutospacing="off" w:after="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Login: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indywidualny adres e‑mail użytkownika.</w:t>
      </w:r>
    </w:p>
    <w:p xmlns:wp14="http://schemas.microsoft.com/office/word/2010/wordml" w:rsidP="3FD5D3CE" wp14:paraId="030B6442" wp14:textId="377BB5BF">
      <w:pPr>
        <w:pStyle w:val="ListParagraph"/>
        <w:numPr>
          <w:ilvl w:val="0"/>
          <w:numId w:val="2"/>
        </w:numPr>
        <w:spacing w:before="0" w:beforeAutospacing="off" w:after="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Hasło: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nadawane przez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Bank Żywności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.</w:t>
      </w:r>
    </w:p>
    <w:p xmlns:wp14="http://schemas.microsoft.com/office/word/2010/wordml" w:rsidP="3FD5D3CE" wp14:paraId="50C5E257" wp14:textId="41AEAC82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na jedno konto BEZ@ może być zalogowanych kilka osób jednocześnie?</w:t>
      </w:r>
      <w:r>
        <w:br/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3249A453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 xml:space="preserve"> Nie, K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auto"/>
          <w:sz w:val="21"/>
          <w:szCs w:val="21"/>
          <w:lang w:val="pl-PL" w:eastAsia="en-US" w:bidi="ar-SA"/>
        </w:rPr>
        <w:t>ażdy użytkownik powinien mieć własny login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(ze względów bezpieczeństwa i rozliczalności działań).</w:t>
      </w:r>
      <w:r w:rsidRPr="3FD5D3CE" w:rsidR="26022677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Natomiast </w:t>
      </w:r>
      <w:r w:rsidRPr="3FD5D3CE" w:rsidR="26022677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istnieje ,</w:t>
      </w:r>
      <w:r w:rsidRPr="3FD5D3CE" w:rsidR="26022677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aby kilka osób pracował jednocześnie w BEA@, pod warunkiem, że każde z nich posiada oddzielny login i hasło</w:t>
      </w:r>
    </w:p>
    <w:p xmlns:wp14="http://schemas.microsoft.com/office/word/2010/wordml" w:rsidP="3FD5D3CE" wp14:paraId="149B0D64" wp14:textId="676F44D7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 xml:space="preserve">P: „Nie widzę programu 2025 w </w:t>
      </w:r>
      <w:r w:rsidRPr="3FD5D3CE" w:rsidR="2600B95B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BEZ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@” — co zrobić?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Skontaktuj się z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Bankiem Żywności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. Konieczne może być złożenie informacji o potencjale na podprogram 2025. Po dopełnieniu formalności BZ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udostępni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program w Twoim koncie.</w:t>
      </w:r>
    </w:p>
    <w:p xmlns:wp14="http://schemas.microsoft.com/office/word/2010/wordml" w:rsidP="3FD5D3CE" wp14:paraId="7BA486AD" wp14:textId="5B758460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upoważnienia do korzystania z BEZ@ podpisuje się przy umowie?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Tak. Podpisane upoważnienia są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niezbędne do uruchomienia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aplikacji dla OPL.</w:t>
      </w:r>
    </w:p>
    <w:p xmlns:wp14="http://schemas.microsoft.com/office/word/2010/wordml" w:rsidP="3FD5D3CE" wp14:paraId="43415C38" wp14:textId="2CC6CA09">
      <w:pPr>
        <w:spacing w:before="0" w:beforeAutospacing="off" w:after="0" w:afterAutospacing="off" w:line="300" w:lineRule="auto"/>
        <w:rPr>
          <w:rFonts w:ascii="Calibri" w:hAnsi="Calibri" w:eastAsia="Calibri" w:cs="Calibri"/>
        </w:rPr>
      </w:pPr>
    </w:p>
    <w:p xmlns:wp14="http://schemas.microsoft.com/office/word/2010/wordml" w:rsidP="3FD5D3CE" wp14:paraId="5BFB1299" wp14:textId="1AEBF37B">
      <w:pPr>
        <w:pStyle w:val="Heading2"/>
        <w:spacing w:before="261" w:beforeAutospacing="off" w:after="261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  <w:t>3) Kopiowanie danych, aktualizacje, błędy</w:t>
      </w:r>
    </w:p>
    <w:p xmlns:wp14="http://schemas.microsoft.com/office/word/2010/wordml" w:rsidP="3FD5D3CE" wp14:paraId="6762D9B1" wp14:textId="5E2F8F6C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można skopiować dane osób z podprogramu 2024 do 2025?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Tak. Funkcja jest opisana w </w:t>
      </w:r>
      <w:r w:rsidRPr="3FD5D3CE" w:rsidR="606AADE0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instrukcji modułu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 xml:space="preserve"> „Osoby zakwalifikowane”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.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Jeśli opcji nie widać, zwykle oznacza to, że BZ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nie rozpoczął jeszcze współpracy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z daną OPL w ramach 2025 — po aktywacji </w:t>
      </w:r>
      <w:r w:rsidRPr="3FD5D3CE" w:rsidR="731CBD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PP 2025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opcja się pojawi.</w:t>
      </w:r>
    </w:p>
    <w:p xmlns:wp14="http://schemas.microsoft.com/office/word/2010/wordml" w:rsidP="3FD5D3CE" wp14:paraId="247F35E0" wp14:textId="7E000C4F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dane z 2025 wykorzystamy w 2026 bez ponownej rejestracji?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Tak —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przez aktualizację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w kolejnym podprogramie (system przewiduje przepływ danych 2025→2026).</w:t>
      </w:r>
    </w:p>
    <w:p xmlns:wp14="http://schemas.microsoft.com/office/word/2010/wordml" w:rsidP="3FD5D3CE" wp14:paraId="73AB182E" wp14:textId="24F057C3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Jak zaktualizować dane po urodzeniu dziecka / zgonie członka rodziny?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Wejdź w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 xml:space="preserve">Osoby zakwalifikowane → 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zaktualizuj 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skład </w:t>
      </w:r>
      <w:r w:rsidRPr="3FD5D3CE" w:rsidR="41373AE0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wybranej</w:t>
      </w:r>
      <w:r w:rsidRPr="3FD5D3CE" w:rsidR="41373AE0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rodziny, a następnie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wydrukuj nowe skierowanie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.</w:t>
      </w:r>
    </w:p>
    <w:p xmlns:wp14="http://schemas.microsoft.com/office/word/2010/wordml" w:rsidP="3FD5D3CE" wp14:paraId="5BDE9F16" wp14:textId="2E2631DA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Osoba samotnie gospodarująca zmarła przed wydaniem paczki — co ze skierowaniem?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Skierowanie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traci podstawę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(beneficjent zmarł). Należy </w:t>
      </w:r>
      <w:r w:rsidRPr="3FD5D3CE" w:rsidR="47FE07AA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zaznaczyć</w:t>
      </w:r>
      <w:r w:rsidRPr="3FD5D3CE" w:rsidR="262F9D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 xml:space="preserve"> REZYGNACJĘ 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w </w:t>
      </w:r>
      <w:r w:rsidRPr="3FD5D3CE" w:rsidR="66431FC4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6043C721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BEZ</w:t>
      </w:r>
      <w:r w:rsidRPr="3FD5D3CE" w:rsidR="6043C721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@ 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i nie wydawać paczki w ramach tego skierowania.</w:t>
      </w:r>
    </w:p>
    <w:p xmlns:wp14="http://schemas.microsoft.com/office/word/2010/wordml" w:rsidP="3FD5D3CE" wp14:paraId="1DC84E06" wp14:textId="1018E59D">
      <w:pPr>
        <w:spacing w:before="0" w:beforeAutospacing="off" w:after="0" w:afterAutospacing="off" w:line="300" w:lineRule="auto"/>
        <w:rPr>
          <w:rFonts w:ascii="Calibri" w:hAnsi="Calibri" w:eastAsia="Calibri" w:cs="Calibri"/>
        </w:rPr>
      </w:pPr>
    </w:p>
    <w:p xmlns:wp14="http://schemas.microsoft.com/office/word/2010/wordml" w:rsidP="3FD5D3CE" wp14:paraId="538A8CC1" wp14:textId="3F100B21">
      <w:pPr>
        <w:pStyle w:val="Heading2"/>
        <w:spacing w:before="261" w:beforeAutospacing="off" w:after="261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  <w:t>4) Skierowania – wystawianie, podpisy, formy</w:t>
      </w:r>
    </w:p>
    <w:p xmlns:wp14="http://schemas.microsoft.com/office/word/2010/wordml" w:rsidP="3FD5D3CE" wp14:paraId="0EC44103" wp14:textId="1F3A88ED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w BEZ@ rejestrujemy i drukujemy skierowanie do podpisu klienta?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Tak. Jeśli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OPS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korzysta z BEZ@, należy sporządzić skierowanie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w systemie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,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wydrukować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i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przekazać do podpisu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osobie potrzebującej.</w:t>
      </w:r>
    </w:p>
    <w:p xmlns:wp14="http://schemas.microsoft.com/office/word/2010/wordml" w:rsidP="3FD5D3CE" wp14:paraId="00F0869B" wp14:textId="181DDE75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oryginał skierowania zostaje w OPL czy OPS?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Z praktyki: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oryginał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przekazuje się osobie potrzebującej, która zanosi go do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OPL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, a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kopia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6AE01E67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pozostaje </w:t>
      </w:r>
      <w:r w:rsidRPr="3FD5D3CE" w:rsidR="6AE01E67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w 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OPS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.</w:t>
      </w:r>
    </w:p>
    <w:p xmlns:wp14="http://schemas.microsoft.com/office/word/2010/wordml" w:rsidP="3FD5D3CE" wp14:paraId="524F225A" wp14:textId="00E6D095">
      <w:pPr>
        <w:spacing w:before="0" w:beforeAutospacing="off" w:after="0" w:afterAutospacing="off" w:line="300" w:lineRule="auto"/>
        <w:rPr>
          <w:rFonts w:ascii="Calibri" w:hAnsi="Calibri" w:eastAsia="Calibri" w:cs="Calibri"/>
        </w:rPr>
      </w:pPr>
    </w:p>
    <w:p xmlns:wp14="http://schemas.microsoft.com/office/word/2010/wordml" w:rsidP="3FD5D3CE" wp14:paraId="48DEE23E" wp14:textId="6FE757DC">
      <w:pPr>
        <w:pStyle w:val="Heading2"/>
        <w:spacing w:before="261" w:beforeAutospacing="off" w:after="261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  <w:t>5) Upoważnienia (druki, odbiór przez inną osobę, kierowcy)</w:t>
      </w:r>
    </w:p>
    <w:p xmlns:wp14="http://schemas.microsoft.com/office/word/2010/wordml" w:rsidP="3FD5D3CE" wp14:paraId="482A4EC1" wp14:textId="1C00BC1A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druki upoważnień są dostępne w BEZ@?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Tak — w</w:t>
      </w:r>
      <w:r w:rsidRPr="3FD5D3CE" w:rsidR="3082A67A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Strefie wiedzy - BEZ@/Standardy FPŻ/Polityka Bezpieczeństwa</w:t>
      </w:r>
    </w:p>
    <w:p xmlns:wp14="http://schemas.microsoft.com/office/word/2010/wordml" w:rsidP="3FD5D3CE" wp14:paraId="46167E3E" wp14:textId="58E16CA1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jest upoważnienie do odbioru żywności przez inną osobę?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Tak — odpowiedni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druk upoważnienia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został zaimplementowany.</w:t>
      </w:r>
    </w:p>
    <w:p xmlns:wp14="http://schemas.microsoft.com/office/word/2010/wordml" w:rsidP="3FD5D3CE" wp14:paraId="0FD5106D" wp14:textId="00921D7D">
      <w:pPr>
        <w:spacing w:before="0" w:beforeAutospacing="off" w:after="0" w:afterAutospacing="off" w:line="300" w:lineRule="auto"/>
        <w:rPr>
          <w:rFonts w:ascii="Calibri" w:hAnsi="Calibri" w:eastAsia="Calibri" w:cs="Calibri"/>
        </w:rPr>
      </w:pPr>
    </w:p>
    <w:p xmlns:wp14="http://schemas.microsoft.com/office/word/2010/wordml" w:rsidP="3FD5D3CE" wp14:paraId="7D648CC9" wp14:textId="665E61EA">
      <w:pPr>
        <w:pStyle w:val="Heading2"/>
        <w:spacing w:before="261" w:beforeAutospacing="off" w:after="261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  <w:t>6) Załączniki i raporty (nr 3, nr 4, formaty)</w:t>
      </w:r>
    </w:p>
    <w:p xmlns:wp14="http://schemas.microsoft.com/office/word/2010/wordml" w:rsidP="3FD5D3CE" wp14:paraId="6ED571DD" wp14:textId="3289514C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załącznik nr 3 (potwierdzenie dystrybucji artykułów) ma być zbiorczy czy indywidualny?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BEZ@ generuje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obie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formy: zbiorczy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i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indywidualny.</w:t>
      </w:r>
    </w:p>
    <w:p xmlns:wp14="http://schemas.microsoft.com/office/word/2010/wordml" w:rsidP="3FD5D3CE" wp14:paraId="4FCD67A5" wp14:textId="00DB1810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załącznik nr 4 można zrobić „na podsumowanie roku”?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Nie.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Załącznik nr 4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jest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miesięczną ewidencją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i należy go prowadzić comiesięcznie.</w:t>
      </w:r>
    </w:p>
    <w:p xmlns:wp14="http://schemas.microsoft.com/office/word/2010/wordml" w:rsidP="3FD5D3CE" wp14:paraId="0A0471D2" wp14:textId="38B8B51A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wszystkie raporty będą dostępne w PDF i Excel?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Trwają prace, aby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wszystkie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raporty były dostępne w obu formatach (taki jest kierunek rozwoju).</w:t>
      </w:r>
    </w:p>
    <w:p xmlns:wp14="http://schemas.microsoft.com/office/word/2010/wordml" w:rsidP="3FD5D3CE" wp14:paraId="53DEA40B" wp14:textId="24B67DAB">
      <w:pPr>
        <w:spacing w:before="0" w:beforeAutospacing="off" w:after="0" w:afterAutospacing="off" w:line="300" w:lineRule="auto"/>
        <w:rPr>
          <w:rFonts w:ascii="Calibri" w:hAnsi="Calibri" w:eastAsia="Calibri" w:cs="Calibri"/>
        </w:rPr>
      </w:pPr>
    </w:p>
    <w:p xmlns:wp14="http://schemas.microsoft.com/office/word/2010/wordml" w:rsidP="3FD5D3CE" wp14:paraId="14BC683A" wp14:textId="009AC1EB">
      <w:pPr>
        <w:pStyle w:val="Heading2"/>
        <w:spacing w:before="261" w:beforeAutospacing="off" w:after="261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  <w:t>7) RODO, polityka bezpieczeństwa, monitoring</w:t>
      </w:r>
    </w:p>
    <w:p xmlns:wp14="http://schemas.microsoft.com/office/word/2010/wordml" w:rsidP="3FD5D3CE" wp14:paraId="6F2B127E" wp14:textId="64E7A0EA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Kto odpowiada za politykę ochrony danych osobowych w OPL?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Zarząd OPL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(administrator danych) odpowiada za opracowanie i wdrożenie polityk.</w:t>
      </w:r>
    </w:p>
    <w:p xmlns:wp14="http://schemas.microsoft.com/office/word/2010/wordml" w:rsidP="3FD5D3CE" wp14:paraId="5830E251" wp14:textId="57D5CA07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klauzula informacyjna RODO musi być podpisana i dołączona do skierowania?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Nie,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jeśli klauzula jest wywieszona w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ogólnodostępnym miejscu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(punkt dystrybucji / kwalifikacji). Podpis i dołączanie do skierowania wtedy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nie są wymagane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.</w:t>
      </w:r>
    </w:p>
    <w:p xmlns:wp14="http://schemas.microsoft.com/office/word/2010/wordml" w:rsidP="3FD5D3CE" wp14:paraId="2219ADC3" wp14:textId="2FB754BB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monitoring w miejscu wydawania żywności jest konieczny?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350C51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Zgodnie z zapisami Wytycznych OPL powinien posiadać monitoring, czy to w formie, alarmu, czujek lub innej formie</w:t>
      </w:r>
    </w:p>
    <w:p xmlns:wp14="http://schemas.microsoft.com/office/word/2010/wordml" w:rsidP="3FD5D3CE" wp14:paraId="3449D602" wp14:textId="400CCCC0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Jak udokumentować „monitoring własny” (środki bezpieczeństwa)?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Wystarczy:</w:t>
      </w:r>
    </w:p>
    <w:p xmlns:wp14="http://schemas.microsoft.com/office/word/2010/wordml" w:rsidP="3FD5D3CE" wp14:paraId="74125630" wp14:textId="51ABB2A2">
      <w:pPr>
        <w:pStyle w:val="ListParagraph"/>
        <w:numPr>
          <w:ilvl w:val="0"/>
          <w:numId w:val="3"/>
        </w:numPr>
        <w:spacing w:before="0" w:beforeAutospacing="off" w:after="0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umowa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z firmą zewnętrzną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lub</w:t>
      </w:r>
    </w:p>
    <w:p xmlns:wp14="http://schemas.microsoft.com/office/word/2010/wordml" w:rsidP="3FD5D3CE" wp14:paraId="6D52DE25" wp14:textId="1538677A">
      <w:pPr>
        <w:pStyle w:val="ListParagraph"/>
        <w:numPr>
          <w:ilvl w:val="0"/>
          <w:numId w:val="3"/>
        </w:numPr>
        <w:spacing w:before="0" w:beforeAutospacing="off" w:after="0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dokumentacja własnego systemu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lub</w:t>
      </w:r>
    </w:p>
    <w:p xmlns:wp14="http://schemas.microsoft.com/office/word/2010/wordml" w:rsidP="3FD5D3CE" wp14:paraId="2AE6CC3C" wp14:textId="4A2B617C">
      <w:pPr>
        <w:pStyle w:val="ListParagraph"/>
        <w:numPr>
          <w:ilvl w:val="0"/>
          <w:numId w:val="3"/>
        </w:numPr>
        <w:spacing w:before="0" w:beforeAutospacing="off" w:after="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oświadczenie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o stosowanych środkach bezpieczeństwa.</w:t>
      </w:r>
    </w:p>
    <w:p xmlns:wp14="http://schemas.microsoft.com/office/word/2010/wordml" w:rsidP="3FD5D3CE" wp14:paraId="5AB4A1E6" wp14:textId="74EBCBF3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Jak chronić dane osobowe przy wydawaniu z „listy wyborczej”?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Zastosować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zakrywanie danych innych osób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(np. listy z nakładkami/okienkami), tak jak </w:t>
      </w:r>
      <w:r w:rsidRPr="3FD5D3CE" w:rsidR="14B1ABDE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np. 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w procedurach wyborczych.</w:t>
      </w:r>
    </w:p>
    <w:p xmlns:wp14="http://schemas.microsoft.com/office/word/2010/wordml" w:rsidP="3FD5D3CE" wp14:paraId="084B592C" wp14:textId="02770876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należy archiwizować dokumenty przedstawiane do kwalifikacji (np. zaświadczenia lekarskie, o dochodach)?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Nie.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Dokumenty służą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wyłącznie do wglądu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na potrzeby weryfikacji.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Nie archiwizujemy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kopii.</w:t>
      </w:r>
    </w:p>
    <w:p xmlns:wp14="http://schemas.microsoft.com/office/word/2010/wordml" w:rsidP="3FD5D3CE" wp14:paraId="7D0BCA33" wp14:textId="31DE1BC9">
      <w:pPr>
        <w:spacing w:before="0" w:beforeAutospacing="off" w:after="0" w:afterAutospacing="off" w:line="300" w:lineRule="auto"/>
        <w:rPr>
          <w:rFonts w:ascii="Calibri" w:hAnsi="Calibri" w:eastAsia="Calibri" w:cs="Calibri"/>
        </w:rPr>
      </w:pPr>
    </w:p>
    <w:p xmlns:wp14="http://schemas.microsoft.com/office/word/2010/wordml" w:rsidP="3FD5D3CE" wp14:paraId="11F67C67" wp14:textId="691C10B0">
      <w:pPr>
        <w:pStyle w:val="Heading2"/>
        <w:spacing w:before="261" w:beforeAutospacing="off" w:after="261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  <w:t>8) OPS ↔ OPL – współpraca, uprawnienia</w:t>
      </w:r>
    </w:p>
    <w:p xmlns:wp14="http://schemas.microsoft.com/office/word/2010/wordml" w:rsidP="3FD5D3CE" wp14:paraId="3CBD6B6B" wp14:textId="3B14CA76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OPS może pełnić rolę OPL?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Tak.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Szczegóły znajdują się na stronie Ministerstwa (ogólne warunki kwalifikacji).</w:t>
      </w:r>
    </w:p>
    <w:p xmlns:wp14="http://schemas.microsoft.com/office/word/2010/wordml" w:rsidP="3FD5D3CE" wp14:paraId="5F442A78" wp14:textId="4E8B63D4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OPS</w:t>
      </w:r>
      <w:r w:rsidRPr="3FD5D3CE" w:rsidR="4469AE45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 xml:space="preserve"> nie będące OPL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mogą pracować w</w:t>
      </w:r>
      <w:r w:rsidRPr="3FD5D3CE" w:rsidR="22FD0B60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aplikacji, każdy na swoim koncie (wystawianie skierowań przez OPS dla OPL)?</w:t>
      </w:r>
      <w:r>
        <w:br/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Na dziś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 xml:space="preserve">moduł </w:t>
      </w:r>
      <w:r w:rsidRPr="3FD5D3CE" w:rsidR="78015DA7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 xml:space="preserve"> wystawiania</w:t>
      </w:r>
      <w:r w:rsidRPr="3FD5D3CE" w:rsidR="78015DA7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 xml:space="preserve"> skierowań przez OPS nie będących OPL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nie jest jeszcze wdrożony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.</w:t>
      </w:r>
      <w:r>
        <w:br/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Wyjątek: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gdy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OP</w:t>
      </w:r>
      <w:r w:rsidRPr="3FD5D3CE" w:rsidR="433ED2DC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L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 xml:space="preserve"> obsługuje wyłącznie jedną OP</w:t>
      </w:r>
      <w:r w:rsidRPr="3FD5D3CE" w:rsidR="2AA6BB0B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S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, można przygotować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porozumienie trójstronne</w:t>
      </w:r>
      <w:r w:rsidRPr="3FD5D3CE" w:rsidR="7872DE49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 xml:space="preserve"> między OPS, OPL a OPR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by umożliwić wystawianie skierowań przez OPS dla tej OPL.</w:t>
      </w:r>
    </w:p>
    <w:p xmlns:wp14="http://schemas.microsoft.com/office/word/2010/wordml" w:rsidP="3FD5D3CE" wp14:paraId="74F03851" wp14:textId="3B634DC1">
      <w:pPr>
        <w:spacing w:before="0" w:beforeAutospacing="off" w:after="0" w:afterAutospacing="off" w:line="300" w:lineRule="auto"/>
        <w:rPr>
          <w:rFonts w:ascii="Calibri" w:hAnsi="Calibri" w:eastAsia="Calibri" w:cs="Calibri"/>
        </w:rPr>
      </w:pPr>
    </w:p>
    <w:p xmlns:wp14="http://schemas.microsoft.com/office/word/2010/wordml" w:rsidP="3FD5D3CE" wp14:paraId="3B722E0F" wp14:textId="1FC8E88C">
      <w:pPr>
        <w:pStyle w:val="Heading2"/>
        <w:spacing w:before="261" w:beforeAutospacing="off" w:after="261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  <w:t>9) Gminy i punkty dystrybucyjne</w:t>
      </w:r>
    </w:p>
    <w:p xmlns:wp14="http://schemas.microsoft.com/office/word/2010/wordml" w:rsidP="3FD5D3CE" wp14:paraId="558174E6" wp14:textId="5431F370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w BEZ@ jest dostępny podział na gminy (obsługujemy 2 gminy)?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Tak. Od początku system pozwala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wystawiać skierowania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i prowadzić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listy dystrybucyjne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z podziałem na gminy.</w:t>
      </w:r>
    </w:p>
    <w:p xmlns:wp14="http://schemas.microsoft.com/office/word/2010/wordml" w:rsidP="3FD5D3CE" wp14:paraId="3711FEE2" wp14:textId="547622C6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można utworzyć osobny punkt dystrybucji (różne dostawy w gminach)?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Tak, ale punkt dystrybucyjny tworzy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Bank Żywności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na wniosek OPL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. Zgłoś potrzebę w BZ.</w:t>
      </w:r>
    </w:p>
    <w:p xmlns:wp14="http://schemas.microsoft.com/office/word/2010/wordml" w:rsidP="3FD5D3CE" wp14:paraId="30BB1972" wp14:textId="35BB7E02">
      <w:pPr>
        <w:spacing w:before="0" w:beforeAutospacing="off" w:after="0" w:afterAutospacing="off" w:line="300" w:lineRule="auto"/>
        <w:rPr>
          <w:rFonts w:ascii="Calibri" w:hAnsi="Calibri" w:eastAsia="Calibri" w:cs="Calibri"/>
        </w:rPr>
      </w:pPr>
    </w:p>
    <w:p xmlns:wp14="http://schemas.microsoft.com/office/word/2010/wordml" w:rsidP="3FD5D3CE" wp14:paraId="404D788A" wp14:textId="3DE79D4A">
      <w:pPr>
        <w:pStyle w:val="Heading2"/>
        <w:spacing w:before="261" w:beforeAutospacing="off" w:after="261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  <w:t>10) Księgowość i ewidencja</w:t>
      </w:r>
    </w:p>
    <w:p xmlns:wp14="http://schemas.microsoft.com/office/word/2010/wordml" w:rsidP="3FD5D3CE" wp14:paraId="35FE463F" wp14:textId="4AA376DC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ewidencja księgowa artykułów spożywczych (w tym darowizn) jest obowiązkowa?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Tak.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Zasady opisano w materiałach „Strefa wiedzy → Działania operacyjne → Ewidencja księgowa”.</w:t>
      </w:r>
    </w:p>
    <w:p xmlns:wp14="http://schemas.microsoft.com/office/word/2010/wordml" w:rsidP="3FD5D3CE" wp14:paraId="340996FE" wp14:textId="38BEFF24">
      <w:pPr>
        <w:spacing w:before="0" w:beforeAutospacing="off" w:after="0" w:afterAutospacing="off" w:line="300" w:lineRule="auto"/>
        <w:rPr>
          <w:rFonts w:ascii="Calibri" w:hAnsi="Calibri" w:eastAsia="Calibri" w:cs="Calibri"/>
        </w:rPr>
      </w:pPr>
    </w:p>
    <w:p xmlns:wp14="http://schemas.microsoft.com/office/word/2010/wordml" w:rsidP="3FD5D3CE" wp14:paraId="19C2107F" wp14:textId="0AB226FB">
      <w:pPr>
        <w:pStyle w:val="Heading2"/>
        <w:spacing w:before="261" w:beforeAutospacing="off" w:after="261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  <w:t>11) Operacje w BEZ@ – praktyczne sytuacje</w:t>
      </w:r>
    </w:p>
    <w:p xmlns:wp14="http://schemas.microsoft.com/office/word/2010/wordml" w:rsidP="3FD5D3CE" wp14:paraId="00FC2FF0" wp14:textId="7A1BC17C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Próbuję przenieść dane z 2024, klikam „aktualizuj”, ale nie mam opcji „kopiuj”. Czemu?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Zwykle dlatego, że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BZ nie rozpoczął współpracy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z Twoją OPL w podprogramie 2025 (brak uprawnień/aktywacji). Skontaktuj się z BZ o włączenie programu 2025.</w:t>
      </w:r>
    </w:p>
    <w:p xmlns:wp14="http://schemas.microsoft.com/office/word/2010/wordml" w:rsidP="3FD5D3CE" wp14:paraId="4BAD4709" wp14:textId="67529563">
      <w:pPr>
        <w:pStyle w:val="Normal"/>
        <w:suppressLineNumbers w:val="0"/>
        <w:bidi w:val="0"/>
        <w:spacing w:before="210" w:beforeAutospacing="off" w:after="210" w:afterAutospacing="off" w:line="30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Czy można nanosić zmiany na skierowaniu „przed zapisem”?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4AF2DA01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Nie, skierowania można </w:t>
      </w:r>
      <w:r w:rsidRPr="3FD5D3CE" w:rsidR="4AF2DA01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wygenerować</w:t>
      </w:r>
      <w:r w:rsidRPr="3FD5D3CE" w:rsidR="4AF2DA01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tylko w formie pdf.</w:t>
      </w:r>
    </w:p>
    <w:p xmlns:wp14="http://schemas.microsoft.com/office/word/2010/wordml" w:rsidP="3FD5D3CE" wp14:paraId="026CC1AC" wp14:textId="0A983CDD">
      <w:pPr>
        <w:pStyle w:val="Heading2"/>
        <w:spacing w:before="261" w:beforeAutospacing="off" w:after="261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  <w:t>12) Specyficzne przypadki rodzinne</w:t>
      </w:r>
    </w:p>
    <w:p xmlns:wp14="http://schemas.microsoft.com/office/word/2010/wordml" w:rsidP="3FD5D3CE" wp14:paraId="75FDA40E" wp14:textId="0698D1FA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Rodzice mają naprzemienną opiekę nad dziećmi; matka już pobiera paczki z dziećmi, ojciec też chce pobierać na dzieci. Co robić?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To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sprawa interpretacyjna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dot. kwalifikacji gospodarstwa domowego i unikania podwójnego świadczenia na te same osoby.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Zgłoś pytanie do Instytucji Zarządzającej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po oficjalną wykładnię (by uniknąć ryzyka podwójnego wsparcia).</w:t>
      </w:r>
    </w:p>
    <w:p xmlns:wp14="http://schemas.microsoft.com/office/word/2010/wordml" w:rsidP="3FD5D3CE" wp14:paraId="1D92D0EE" wp14:textId="02105393">
      <w:pPr>
        <w:spacing w:before="0" w:beforeAutospacing="off" w:after="0" w:afterAutospacing="off" w:line="300" w:lineRule="auto"/>
        <w:rPr>
          <w:rFonts w:ascii="Calibri" w:hAnsi="Calibri" w:eastAsia="Calibri" w:cs="Calibri"/>
        </w:rPr>
      </w:pPr>
    </w:p>
    <w:p xmlns:wp14="http://schemas.microsoft.com/office/word/2010/wordml" w:rsidP="3FD5D3CE" wp14:paraId="56D9C375" wp14:textId="59E7D924">
      <w:pPr>
        <w:pStyle w:val="Heading2"/>
        <w:spacing w:before="261" w:beforeAutospacing="off" w:after="261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31"/>
          <w:szCs w:val="31"/>
          <w:lang w:val="pl-PL"/>
        </w:rPr>
        <w:t>13) Wystawianie skierowań a umowa 2025</w:t>
      </w:r>
    </w:p>
    <w:p xmlns:wp14="http://schemas.microsoft.com/office/word/2010/wordml" w:rsidP="3FD5D3CE" wp14:paraId="1841EDA2" wp14:textId="0CABDF25">
      <w:pPr>
        <w:spacing w:before="210" w:beforeAutospacing="off" w:after="21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P: Nie mamy jeszcze podpisanej umowy na podprogram 2025 — czy możemy już wystawiać skierowania?</w:t>
      </w:r>
      <w:r>
        <w:br/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O: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Tak.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Skierowania można wydawać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od marca 2025 r.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(z chwilą obowiązywania wytycznych IZ), niezależnie od daty podpisania umowy.</w:t>
      </w:r>
    </w:p>
    <w:p w:rsidR="3FD5D3CE" w:rsidP="3FD5D3CE" w:rsidRDefault="3FD5D3CE" w14:paraId="72CF8DA7" w14:textId="729674B7">
      <w:pPr>
        <w:pStyle w:val="Heading1"/>
        <w:spacing w:before="281" w:beforeAutospacing="off" w:after="281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42"/>
          <w:szCs w:val="42"/>
          <w:lang w:val="pl-PL"/>
        </w:rPr>
      </w:pPr>
    </w:p>
    <w:p xmlns:wp14="http://schemas.microsoft.com/office/word/2010/wordml" w:rsidP="3FD5D3CE" wp14:paraId="031EE1BB" wp14:textId="54F6E286">
      <w:pPr>
        <w:pStyle w:val="Heading1"/>
        <w:spacing w:before="281" w:beforeAutospacing="off" w:after="281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42"/>
          <w:szCs w:val="42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42"/>
          <w:szCs w:val="42"/>
          <w:lang w:val="pl-PL"/>
        </w:rPr>
        <w:t>Szybka ściąga (co zrobić „tu i teraz”)</w:t>
      </w:r>
    </w:p>
    <w:p xmlns:wp14="http://schemas.microsoft.com/office/word/2010/wordml" w:rsidP="3FD5D3CE" wp14:paraId="69325BB6" wp14:textId="39703B6E">
      <w:pPr>
        <w:pStyle w:val="ListParagraph"/>
        <w:numPr>
          <w:ilvl w:val="0"/>
          <w:numId w:val="5"/>
        </w:numPr>
        <w:spacing w:before="0" w:beforeAutospacing="off" w:after="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Nie widzisz 2025 w BEZ@?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→ Zgłoś do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BZ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(potencjał na podprogram 2025, aktywacja).</w:t>
      </w:r>
    </w:p>
    <w:p xmlns:wp14="http://schemas.microsoft.com/office/word/2010/wordml" w:rsidP="3FD5D3CE" wp14:paraId="783365BE" wp14:textId="0054AE4C">
      <w:pPr>
        <w:pStyle w:val="ListParagraph"/>
        <w:numPr>
          <w:ilvl w:val="0"/>
          <w:numId w:val="5"/>
        </w:numPr>
        <w:spacing w:before="0" w:beforeAutospacing="off" w:after="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Pomyłka 2024 vs 2025?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→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Wystaw nowe skierowanie</w:t>
      </w:r>
      <w:r w:rsidRPr="3FD5D3CE" w:rsidR="1DDE526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 xml:space="preserve"> na właściwy </w:t>
      </w:r>
      <w:r w:rsidRPr="3FD5D3CE" w:rsidR="4FBF0A4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podegram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.</w:t>
      </w:r>
    </w:p>
    <w:p xmlns:wp14="http://schemas.microsoft.com/office/word/2010/wordml" w:rsidP="3FD5D3CE" wp14:paraId="2BFC4D3E" wp14:textId="16D6D955">
      <w:pPr>
        <w:pStyle w:val="ListParagraph"/>
        <w:numPr>
          <w:ilvl w:val="0"/>
          <w:numId w:val="5"/>
        </w:numPr>
        <w:spacing w:before="0" w:beforeAutospacing="off" w:after="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Zmienił się skład rodziny?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→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Aktualizuj dane w „Osoby zakwalifikowane” → wydrukuj nowe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.</w:t>
      </w:r>
    </w:p>
    <w:p xmlns:wp14="http://schemas.microsoft.com/office/word/2010/wordml" w:rsidP="3FD5D3CE" wp14:paraId="551F0E2C" wp14:textId="5D4D2749">
      <w:pPr>
        <w:pStyle w:val="ListParagraph"/>
        <w:numPr>
          <w:ilvl w:val="0"/>
          <w:numId w:val="5"/>
        </w:numPr>
        <w:spacing w:before="0" w:beforeAutospacing="off" w:after="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Brak zaświadczeń dochodowych?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→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Oświadczenie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</w:t>
      </w:r>
      <w:r w:rsidRPr="3FD5D3CE" w:rsidR="6D7FB63A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część</w:t>
      </w:r>
      <w:r w:rsidRPr="3FD5D3CE" w:rsidR="354B7224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B 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wystarczy.</w:t>
      </w:r>
    </w:p>
    <w:p xmlns:wp14="http://schemas.microsoft.com/office/word/2010/wordml" w:rsidP="3FD5D3CE" wp14:paraId="46505F18" wp14:textId="426DC962">
      <w:pPr>
        <w:pStyle w:val="ListParagraph"/>
        <w:numPr>
          <w:ilvl w:val="0"/>
          <w:numId w:val="5"/>
        </w:numPr>
        <w:spacing w:before="0" w:beforeAutospacing="off" w:after="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RODO/klauzula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→ wywieś w miejscu ogólnodostępnym;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brak obowiązku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dołączania do każdego skierowania.</w:t>
      </w:r>
    </w:p>
    <w:p xmlns:wp14="http://schemas.microsoft.com/office/word/2010/wordml" w:rsidP="3FD5D3CE" wp14:paraId="12E9EC21" wp14:textId="5993ED10">
      <w:pPr>
        <w:pStyle w:val="ListParagraph"/>
        <w:numPr>
          <w:ilvl w:val="0"/>
          <w:numId w:val="5"/>
        </w:numPr>
        <w:spacing w:before="0" w:beforeAutospacing="off" w:after="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Ochrona danych przy wydawaniu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→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zakrywaj dane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innych osób na listach.</w:t>
      </w:r>
    </w:p>
    <w:p xmlns:wp14="http://schemas.microsoft.com/office/word/2010/wordml" w:rsidP="3FD5D3CE" wp14:paraId="04167B1B" wp14:textId="45A6188E">
      <w:pPr>
        <w:pStyle w:val="ListParagraph"/>
        <w:numPr>
          <w:ilvl w:val="0"/>
          <w:numId w:val="5"/>
        </w:numPr>
        <w:spacing w:before="0" w:beforeAutospacing="off" w:after="0" w:afterAutospacing="off" w:line="300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</w:pP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Załącznik 4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 xml:space="preserve"> → </w:t>
      </w:r>
      <w:r w:rsidRPr="3FD5D3CE" w:rsidR="06B53AF6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1"/>
          <w:szCs w:val="21"/>
          <w:lang w:val="pl-PL"/>
        </w:rPr>
        <w:t>miesięczny</w:t>
      </w:r>
      <w:r w:rsidRPr="3FD5D3CE" w:rsidR="06B53AF6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1"/>
          <w:szCs w:val="21"/>
          <w:lang w:val="pl-PL"/>
        </w:rPr>
        <w:t>, nie „roczny zbiorczy”.</w:t>
      </w:r>
    </w:p>
    <w:p xmlns:wp14="http://schemas.microsoft.com/office/word/2010/wordml" w:rsidP="3FD5D3CE" wp14:paraId="57375426" wp14:textId="15A16161">
      <w:pPr>
        <w:rPr>
          <w:rFonts w:ascii="Calibri" w:hAnsi="Calibri" w:eastAsia="Calibri" w:cs="Calibri"/>
        </w:rPr>
      </w:pPr>
    </w:p>
    <w:p w:rsidR="0F106AE8" w:rsidP="3FD5D3CE" w:rsidRDefault="0F106AE8" w14:paraId="3D3857F7" w14:textId="666FAEF6">
      <w:pPr>
        <w:spacing w:before="0" w:beforeAutospacing="off" w:after="0" w:afterAutospacing="off" w:line="300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42"/>
          <w:szCs w:val="42"/>
          <w:lang w:val="pl-PL"/>
        </w:rPr>
      </w:pPr>
      <w:r w:rsidRPr="3FD5D3CE" w:rsidR="0F106AE8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F4761" w:themeColor="accent1" w:themeTint="FF" w:themeShade="BF"/>
          <w:sz w:val="42"/>
          <w:szCs w:val="42"/>
          <w:lang w:val="pl-PL" w:eastAsia="en-US" w:bidi="ar-SA"/>
        </w:rPr>
        <w:t xml:space="preserve">Na wszystkie Państwa pytania odpowiedzi znajdują się w materiałach dostępnych w </w:t>
      </w:r>
      <w:r w:rsidRPr="3FD5D3CE" w:rsidR="0F106AE8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F4761" w:themeColor="accent1" w:themeTint="FF" w:themeShade="BF"/>
          <w:sz w:val="42"/>
          <w:szCs w:val="42"/>
          <w:lang w:val="pl-PL" w:eastAsia="en-US" w:bidi="ar-SA"/>
        </w:rPr>
        <w:t>Strefie Wiedzy</w:t>
      </w:r>
      <w:r w:rsidRPr="3FD5D3CE" w:rsidR="0F106AE8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F4761" w:themeColor="accent1" w:themeTint="FF" w:themeShade="BF"/>
          <w:sz w:val="42"/>
          <w:szCs w:val="42"/>
          <w:lang w:val="pl-PL" w:eastAsia="en-US" w:bidi="ar-SA"/>
        </w:rPr>
        <w:t>, a także w instrukcjach obsługi aplikacji BEZ@.</w:t>
      </w:r>
    </w:p>
    <w:p w:rsidR="3FD5D3CE" w:rsidP="3FD5D3CE" w:rsidRDefault="3FD5D3CE" w14:paraId="72D07CFC" w14:textId="7D5D34CC">
      <w:pPr>
        <w:rPr>
          <w:rFonts w:ascii="Calibri" w:hAnsi="Calibri" w:eastAsia="Calibri" w:cs="Calibri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5">
    <w:nsid w:val="754787e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3122899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7c43ceb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59717db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2a76208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6339FB"/>
    <w:rsid w:val="00A39C3C"/>
    <w:rsid w:val="0350C516"/>
    <w:rsid w:val="03C0C6BE"/>
    <w:rsid w:val="05C37B1B"/>
    <w:rsid w:val="06B53AF6"/>
    <w:rsid w:val="0BFC3C7F"/>
    <w:rsid w:val="0CEB857C"/>
    <w:rsid w:val="0CED6750"/>
    <w:rsid w:val="0E2FB340"/>
    <w:rsid w:val="0F106AE8"/>
    <w:rsid w:val="0F656004"/>
    <w:rsid w:val="0FD944DD"/>
    <w:rsid w:val="10BA7DF8"/>
    <w:rsid w:val="14B1ABDE"/>
    <w:rsid w:val="1529EA22"/>
    <w:rsid w:val="186339FB"/>
    <w:rsid w:val="18AF5943"/>
    <w:rsid w:val="1DDE5266"/>
    <w:rsid w:val="2155D4D6"/>
    <w:rsid w:val="22FD0B60"/>
    <w:rsid w:val="2600B95B"/>
    <w:rsid w:val="26022677"/>
    <w:rsid w:val="262F9DE8"/>
    <w:rsid w:val="26844945"/>
    <w:rsid w:val="29AF223C"/>
    <w:rsid w:val="2AA6BB0B"/>
    <w:rsid w:val="2D427A41"/>
    <w:rsid w:val="3082A67A"/>
    <w:rsid w:val="3249A453"/>
    <w:rsid w:val="34C2F179"/>
    <w:rsid w:val="354B7224"/>
    <w:rsid w:val="361C5FBE"/>
    <w:rsid w:val="361E74A9"/>
    <w:rsid w:val="36B98CE3"/>
    <w:rsid w:val="37E89C78"/>
    <w:rsid w:val="3938EF9D"/>
    <w:rsid w:val="3A0D741E"/>
    <w:rsid w:val="3D531D18"/>
    <w:rsid w:val="3FD5D3CE"/>
    <w:rsid w:val="40A0F304"/>
    <w:rsid w:val="40E46147"/>
    <w:rsid w:val="41373AE0"/>
    <w:rsid w:val="433ED2DC"/>
    <w:rsid w:val="4469AE45"/>
    <w:rsid w:val="47FD44C9"/>
    <w:rsid w:val="47FE07AA"/>
    <w:rsid w:val="49C2A329"/>
    <w:rsid w:val="4AF2DA01"/>
    <w:rsid w:val="4FBD56F9"/>
    <w:rsid w:val="4FBF0A46"/>
    <w:rsid w:val="56301688"/>
    <w:rsid w:val="565C9D4F"/>
    <w:rsid w:val="5C0FF37F"/>
    <w:rsid w:val="6043C721"/>
    <w:rsid w:val="606AADE0"/>
    <w:rsid w:val="66431FC4"/>
    <w:rsid w:val="69C625FF"/>
    <w:rsid w:val="6AE01E67"/>
    <w:rsid w:val="6C6A9220"/>
    <w:rsid w:val="6D7FB63A"/>
    <w:rsid w:val="71F54F48"/>
    <w:rsid w:val="724A2667"/>
    <w:rsid w:val="731CBDF6"/>
    <w:rsid w:val="7613549C"/>
    <w:rsid w:val="767B63F7"/>
    <w:rsid w:val="78015DA7"/>
    <w:rsid w:val="7872DE49"/>
    <w:rsid w:val="79B8BFDB"/>
    <w:rsid w:val="7A740AEE"/>
    <w:rsid w:val="7B110429"/>
    <w:rsid w:val="7BC80FDA"/>
    <w:rsid w:val="7F9E5FB7"/>
    <w:rsid w:val="7FC1F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339FB"/>
  <w15:chartTrackingRefBased/>
  <w15:docId w15:val="{F7B1C751-F20B-427A-8D3F-341B46FCC50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360" w:after="8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2Char" w:customStyle="1" mc:Ignorable="w14">
    <w:name xmlns:w="http://schemas.openxmlformats.org/wordprocessingml/2006/main" w:val="Heading 2 Char"/>
    <w:basedOn xmlns:w="http://schemas.openxmlformats.org/wordprocessingml/2006/main" w:val="DefaultParagraphFont"/>
    <w:link xmlns:w="http://schemas.openxmlformats.org/wordprocessingml/2006/main" w:val="Heading2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2" mc:Ignorable="w14">
    <w:name xmlns:w="http://schemas.openxmlformats.org/wordprocessingml/2006/main" w:val="heading 2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2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160" w:after="80"/>
      <w:outlineLvl xmlns:w="http://schemas.openxmlformats.org/wordprocessingml/2006/main" w:val="1"/>
    </w:pPr>
    <w:rPr xmlns:w="http://schemas.openxmlformats.org/wordprocessingml/2006/main"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3Char" w:customStyle="1" mc:Ignorable="w14">
    <w:name xmlns:w="http://schemas.openxmlformats.org/wordprocessingml/2006/main" w:val="Heading 3 Char"/>
    <w:basedOn xmlns:w="http://schemas.openxmlformats.org/wordprocessingml/2006/main" w:val="DefaultParagraphFont"/>
    <w:link xmlns:w="http://schemas.openxmlformats.org/wordprocessingml/2006/main" w:val="Heading3"/>
    <w:uiPriority xmlns:w="http://schemas.openxmlformats.org/wordprocessingml/2006/main" w:val="9"/>
    <w:rPr xmlns:w="http://schemas.openxmlformats.org/wordprocessingml/2006/main">
      <w:rFonts w:eastAsiaTheme="majorEastAsia" w:cstheme="majorBidi"/>
      <w:color w:val="0F4761" w:themeColor="accent1" w:themeShade="BF"/>
      <w:sz w:val="28"/>
      <w:szCs w:val="28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3" mc:Ignorable="w14">
    <w:name xmlns:w="http://schemas.openxmlformats.org/wordprocessingml/2006/main" w:val="heading 3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3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160" w:after="80"/>
      <w:outlineLvl xmlns:w="http://schemas.openxmlformats.org/wordprocessingml/2006/main" w:val="2"/>
    </w:pPr>
    <w:rPr xmlns:w="http://schemas.openxmlformats.org/wordprocessingml/2006/main">
      <w:rFonts w:eastAsiaTheme="majorEastAsia" w:cstheme="majorBidi"/>
      <w:color w:val="0F4761" w:themeColor="accent1" w:themeShade="BF"/>
      <w:sz w:val="28"/>
      <w:szCs w:val="28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eading5Char" w:customStyle="1" mc:Ignorable="w14">
    <w:name xmlns:w="http://schemas.openxmlformats.org/wordprocessingml/2006/main" w:val="Heading 5 Char"/>
    <w:basedOn xmlns:w="http://schemas.openxmlformats.org/wordprocessingml/2006/main" w:val="DefaultParagraphFont"/>
    <w:link xmlns:w="http://schemas.openxmlformats.org/wordprocessingml/2006/main" w:val="Heading5"/>
    <w:uiPriority xmlns:w="http://schemas.openxmlformats.org/wordprocessingml/2006/main" w:val="9"/>
    <w:rPr xmlns:w="http://schemas.openxmlformats.org/wordprocessingml/2006/main">
      <w:rFonts w:eastAsiaTheme="majorEastAsia" w:cstheme="majorBidi"/>
      <w:color w:val="0F4761" w:themeColor="accent1" w:themeShade="BF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5" mc:Ignorable="w14">
    <w:name xmlns:w="http://schemas.openxmlformats.org/wordprocessingml/2006/main" w:val="heading 5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5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80" w:after="40"/>
      <w:outlineLvl xmlns:w="http://schemas.openxmlformats.org/wordprocessingml/2006/main" w:val="4"/>
    </w:pPr>
    <w:rPr xmlns:w="http://schemas.openxmlformats.org/wordprocessingml/2006/main">
      <w:rFonts w:eastAsiaTheme="majorEastAsia" w:cstheme="majorBidi"/>
      <w:color w:val="0F4761" w:themeColor="accent1" w:themeShade="BF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6Char" w:customStyle="1" mc:Ignorable="w14">
    <w:name xmlns:w="http://schemas.openxmlformats.org/wordprocessingml/2006/main" w:val="Heading 6 Char"/>
    <w:basedOn xmlns:w="http://schemas.openxmlformats.org/wordprocessingml/2006/main" w:val="DefaultParagraphFont"/>
    <w:link xmlns:w="http://schemas.openxmlformats.org/wordprocessingml/2006/main" w:val="Heading6"/>
    <w:uiPriority xmlns:w="http://schemas.openxmlformats.org/wordprocessingml/2006/main" w:val="9"/>
    <w:rPr xmlns:w="http://schemas.openxmlformats.org/wordprocessingml/2006/main">
      <w:rFonts w:eastAsiaTheme="majorEastAsia" w:cstheme="majorBidi"/>
      <w:i/>
      <w:iCs/>
      <w:color w:val="595959" w:themeColor="text1" w:themeTint="A6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6" mc:Ignorable="w14">
    <w:name xmlns:w="http://schemas.openxmlformats.org/wordprocessingml/2006/main" w:val="heading 6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6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5"/>
    </w:pPr>
    <w:rPr xmlns:w="http://schemas.openxmlformats.org/wordprocessingml/2006/main">
      <w:rFonts w:eastAsiaTheme="majorEastAsia" w:cstheme="majorBidi"/>
      <w:i/>
      <w:iCs/>
      <w:color w:val="595959" w:themeColor="text1" w:themeTint="A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52c76b409c4c4920" /><Relationship Type="http://schemas.openxmlformats.org/officeDocument/2006/relationships/hyperlink" Target="https://www.beza.bankizywnosci.pl" TargetMode="External" Id="Rd3be33f9e0814256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A00A6F7D0EA7C40B07EF9C38A5CDD65" ma:contentTypeVersion="11" ma:contentTypeDescription="Utwórz nowy dokument." ma:contentTypeScope="" ma:versionID="995d8d1fe6f3d98eabc23d78cf2628c5">
  <xsd:schema xmlns:xsd="http://www.w3.org/2001/XMLSchema" xmlns:xs="http://www.w3.org/2001/XMLSchema" xmlns:p="http://schemas.microsoft.com/office/2006/metadata/properties" xmlns:ns2="e09ad377-09ac-4078-ab12-985b3fee43d6" xmlns:ns3="8f0aa55b-9349-4548-9c1a-36cae621b418" targetNamespace="http://schemas.microsoft.com/office/2006/metadata/properties" ma:root="true" ma:fieldsID="bfb5fad8c2fc7b15b51352186b643baf" ns2:_="" ns3:_="">
    <xsd:import namespace="e09ad377-09ac-4078-ab12-985b3fee43d6"/>
    <xsd:import namespace="8f0aa55b-9349-4548-9c1a-36cae621b4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9ad377-09ac-4078-ab12-985b3fee43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e17366c3-43d8-482e-8954-a36a6c3294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0aa55b-9349-4548-9c1a-36cae621b418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26dbc00-da8b-46a5-80c8-649a37818f71}" ma:internalName="TaxCatchAll" ma:showField="CatchAllData" ma:web="8f0aa55b-9349-4548-9c1a-36cae621b4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f0aa55b-9349-4548-9c1a-36cae621b418" xsi:nil="true"/>
    <lcf76f155ced4ddcb4097134ff3c332f xmlns="e09ad377-09ac-4078-ab12-985b3fee43d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66923C2-5BDF-4BC6-86CC-9172F168BF08}"/>
</file>

<file path=customXml/itemProps2.xml><?xml version="1.0" encoding="utf-8"?>
<ds:datastoreItem xmlns:ds="http://schemas.openxmlformats.org/officeDocument/2006/customXml" ds:itemID="{B97FA4C0-A5FE-4689-B875-330BB2923032}"/>
</file>

<file path=customXml/itemProps3.xml><?xml version="1.0" encoding="utf-8"?>
<ds:datastoreItem xmlns:ds="http://schemas.openxmlformats.org/officeDocument/2006/customXml" ds:itemID="{9A1245FC-95C6-4A79-989A-EAC0871689D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Fedoruk</dc:creator>
  <cp:keywords/>
  <dc:description/>
  <cp:lastModifiedBy>Marcin Fedoruk</cp:lastModifiedBy>
  <dcterms:created xsi:type="dcterms:W3CDTF">2026-01-19T05:49:53Z</dcterms:created>
  <dcterms:modified xsi:type="dcterms:W3CDTF">2026-01-19T06:22:28Z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0x0101002A00A6F7D0EA7C40B07EF9C38A5CDD65</vt:lpwstr>
  </property>
</Properties>
</file>